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F2822" w14:paraId="66B51CD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EB366D" w14:textId="77777777" w:rsidR="005F2822" w:rsidRDefault="00000000"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3A780C7" w14:textId="77777777" w:rsidR="005F2822" w:rsidRDefault="00000000">
            <w:r>
              <w:t>27183</w:t>
            </w:r>
          </w:p>
        </w:tc>
      </w:tr>
      <w:tr w:rsidR="005F2822" w14:paraId="5306D17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32D292" w14:textId="77777777" w:rsidR="005F2822" w:rsidRDefault="00000000"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BF17C98" w14:textId="77777777" w:rsidR="005F2822" w:rsidRDefault="00000000">
            <w:r>
              <w:t>DJEČJI VRTIĆ VRBOVEC</w:t>
            </w:r>
          </w:p>
        </w:tc>
      </w:tr>
      <w:tr w:rsidR="005F2822" w14:paraId="2CCD49C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824AAD" w14:textId="77777777" w:rsidR="005F2822" w:rsidRDefault="00000000"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9973466" w14:textId="77777777" w:rsidR="005F2822" w:rsidRDefault="00000000">
            <w:r>
              <w:t>21</w:t>
            </w:r>
          </w:p>
        </w:tc>
      </w:tr>
    </w:tbl>
    <w:p w14:paraId="18A0EE05" w14:textId="77777777" w:rsidR="005F2822" w:rsidRDefault="00000000">
      <w:r>
        <w:br/>
      </w:r>
    </w:p>
    <w:p w14:paraId="5939899B" w14:textId="77777777" w:rsidR="005F2822" w:rsidRDefault="00000000">
      <w:pPr>
        <w:jc w:val="center"/>
      </w:pPr>
      <w:r>
        <w:rPr>
          <w:b/>
          <w:sz w:val="28"/>
        </w:rPr>
        <w:t>BILJEŠKE UZ FINANCIJSKE IZVJEŠTAJE</w:t>
      </w:r>
    </w:p>
    <w:p w14:paraId="3787AF03" w14:textId="77777777" w:rsidR="005F2822" w:rsidRDefault="00000000">
      <w:pPr>
        <w:jc w:val="center"/>
      </w:pPr>
      <w:r>
        <w:rPr>
          <w:b/>
          <w:sz w:val="28"/>
        </w:rPr>
        <w:t>ZA RAZDOBLJE</w:t>
      </w:r>
    </w:p>
    <w:p w14:paraId="61D2F0B8" w14:textId="77777777" w:rsidR="005F2822" w:rsidRPr="00DC7436" w:rsidRDefault="00000000">
      <w:pPr>
        <w:jc w:val="center"/>
        <w:rPr>
          <w:lang w:val="pl-PL"/>
        </w:rPr>
      </w:pPr>
      <w:r w:rsidRPr="00DC7436">
        <w:rPr>
          <w:b/>
          <w:sz w:val="28"/>
          <w:lang w:val="pl-PL"/>
        </w:rPr>
        <w:t>I - IX 2025.Izvještaj o prihodima i rashodima, primicima i izdacima</w:t>
      </w:r>
    </w:p>
    <w:p w14:paraId="46544500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1142CE6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0DE8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8D6C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7978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719A9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0DAA7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11F2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660A9C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389B5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DF38B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9BB0C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515D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1.247.963,88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1A384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1.745.584,10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1DDC1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139,9</w:t>
            </w:r>
          </w:p>
        </w:tc>
      </w:tr>
      <w:tr w:rsidR="005F2822" w14:paraId="3B6FBB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50EF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6928F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DB490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25F79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1.231.337,29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78E21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1.701.771,74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D64B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138,2</w:t>
            </w:r>
          </w:p>
        </w:tc>
      </w:tr>
      <w:tr w:rsidR="005F2822" w14:paraId="7950A9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6AF98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71822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D4FA4" w14:textId="77777777" w:rsidR="005F2822" w:rsidRDefault="00000000">
            <w:pPr>
              <w:keepNext/>
              <w:keepLines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66F0F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16.626,59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F40E2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43.812,36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C0244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263,5</w:t>
            </w:r>
          </w:p>
        </w:tc>
      </w:tr>
      <w:tr w:rsidR="005F2822" w14:paraId="71949F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A8221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0AD59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5AB22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3C66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9FF89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ECD99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5F2822" w14:paraId="0B7476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1CB21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5824D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F28A3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4D59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21.608,13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F0966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51.853,53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07CCA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240,0</w:t>
            </w:r>
          </w:p>
        </w:tc>
      </w:tr>
      <w:tr w:rsidR="005F2822" w14:paraId="7E02C7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47C8B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59F8B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17CF3" w14:textId="77777777" w:rsidR="005F2822" w:rsidRDefault="00000000">
            <w:pPr>
              <w:keepNext/>
              <w:keepLines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28CA8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21.608,13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26B3D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51.853,53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F5B73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240,0</w:t>
            </w:r>
          </w:p>
        </w:tc>
      </w:tr>
      <w:tr w:rsidR="005F2822" w14:paraId="46AFCA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59220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1AE36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715D0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9497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6797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EA82F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5F2822" w14:paraId="0C572B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17867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5DC2B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6474C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A9F7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5617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6942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5F2822" w14:paraId="0713E7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460DB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ACB3F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CE932" w14:textId="77777777" w:rsidR="005F2822" w:rsidRDefault="00000000">
            <w:pPr>
              <w:keepNext/>
              <w:keepLines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B489A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2312A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DC379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F2822" w14:paraId="5C2EB8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F6DFA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FA46A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CC90D" w14:textId="77777777" w:rsidR="005F2822" w:rsidRDefault="00000000">
            <w:pPr>
              <w:keepNext/>
              <w:keepLines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BA1A1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4.981,54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C45A5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8.041,17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3303E" w14:textId="77777777" w:rsidR="005F2822" w:rsidRDefault="00000000">
            <w:pPr>
              <w:keepNext/>
              <w:keepLines/>
              <w:jc w:val="right"/>
            </w:pPr>
            <w:r>
              <w:rPr>
                <w:b/>
                <w:sz w:val="18"/>
              </w:rPr>
              <w:t>161,4</w:t>
            </w:r>
          </w:p>
        </w:tc>
      </w:tr>
      <w:tr w:rsidR="005F2822" w14:paraId="31280D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1539E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3B5B3" w14:textId="77777777" w:rsidR="005F2822" w:rsidRDefault="005F2822">
            <w:pPr>
              <w:keepNext/>
              <w:keepLines/>
              <w:rPr>
                <w:b/>
                <w:sz w:val="18"/>
              </w:rPr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DF220" w14:textId="77777777" w:rsidR="005F2822" w:rsidRDefault="005F2822">
            <w:pPr>
              <w:keepNext/>
              <w:keepLines/>
              <w:rPr>
                <w:b/>
                <w:sz w:val="18"/>
              </w:rPr>
            </w:pP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D595C" w14:textId="77777777" w:rsidR="005F2822" w:rsidRDefault="005F2822">
            <w:pPr>
              <w:keepNext/>
              <w:keepLines/>
              <w:jc w:val="right"/>
              <w:rPr>
                <w:b/>
                <w:sz w:val="18"/>
              </w:rPr>
            </w:pP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310E3" w14:textId="77777777" w:rsidR="005F2822" w:rsidRDefault="005F2822">
            <w:pPr>
              <w:keepNext/>
              <w:keepLines/>
              <w:jc w:val="right"/>
              <w:rPr>
                <w:b/>
                <w:sz w:val="18"/>
              </w:rPr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59883" w14:textId="77777777" w:rsidR="005F2822" w:rsidRDefault="005F2822">
            <w:pPr>
              <w:keepNext/>
              <w:keepLines/>
              <w:jc w:val="right"/>
              <w:rPr>
                <w:b/>
                <w:sz w:val="18"/>
              </w:rPr>
            </w:pPr>
          </w:p>
        </w:tc>
      </w:tr>
    </w:tbl>
    <w:p w14:paraId="6ADBA0E1" w14:textId="77777777" w:rsidR="005F2822" w:rsidRDefault="005F2822"/>
    <w:p w14:paraId="387FDC87" w14:textId="27944FAC" w:rsidR="00DC7436" w:rsidRDefault="00DC7436" w:rsidP="00DC7436">
      <w:pPr>
        <w:jc w:val="both"/>
      </w:pPr>
      <w:r>
        <w:t xml:space="preserve">Do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poslaovanja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za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usljed</w:t>
      </w:r>
      <w:proofErr w:type="spellEnd"/>
      <w:r>
        <w:t xml:space="preserve"> i</w:t>
      </w:r>
      <w:proofErr w:type="spellStart"/>
      <w:r>
        <w:t>nflacije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 </w:t>
      </w:r>
      <w:proofErr w:type="spellStart"/>
      <w:r>
        <w:t>proširenj</w:t>
      </w:r>
      <w:r>
        <w:t>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otvaranj</w:t>
      </w:r>
      <w:r>
        <w:t>em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</w:t>
      </w:r>
      <w:r>
        <w:t>a</w:t>
      </w:r>
      <w:proofErr w:type="spellEnd"/>
      <w:r>
        <w:t>.</w:t>
      </w:r>
    </w:p>
    <w:p w14:paraId="058D2704" w14:textId="77777777" w:rsidR="005F2822" w:rsidRDefault="005F2822"/>
    <w:p w14:paraId="16B9C4B5" w14:textId="77777777" w:rsidR="005F2822" w:rsidRDefault="00000000">
      <w:pPr>
        <w:keepNext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20EEA3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F983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CBAB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6640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4EF6B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6D4D9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1EFC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754E99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3C965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CB14F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75697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45601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1.247.963,88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15BE9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1.745.584,10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C5B6F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702F4535" w14:textId="77777777" w:rsidR="005F2822" w:rsidRDefault="005F2822"/>
    <w:p w14:paraId="65950B27" w14:textId="77777777" w:rsidR="005F2822" w:rsidRDefault="00000000">
      <w:pPr>
        <w:jc w:val="both"/>
      </w:pPr>
      <w:r>
        <w:t xml:space="preserve">Na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od 39,9% za </w:t>
      </w:r>
      <w:proofErr w:type="spellStart"/>
      <w:r>
        <w:t>razdoblje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 xml:space="preserve"> Grada </w:t>
      </w:r>
      <w:proofErr w:type="spellStart"/>
      <w:r>
        <w:t>Vrbovca</w:t>
      </w:r>
      <w:proofErr w:type="spellEnd"/>
      <w:r>
        <w:t xml:space="preserve"> za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po KU </w:t>
      </w:r>
      <w:proofErr w:type="spellStart"/>
      <w:r>
        <w:t>i</w:t>
      </w:r>
      <w:proofErr w:type="spellEnd"/>
      <w:r>
        <w:t xml:space="preserve"> 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upisane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a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.</w:t>
      </w:r>
    </w:p>
    <w:p w14:paraId="6F732FAA" w14:textId="77777777" w:rsidR="005F2822" w:rsidRDefault="005F2822"/>
    <w:p w14:paraId="21A7A0B2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3AB74F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9B7D3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DE6B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3118F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7F0F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799F6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3917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251325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FFE22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225A2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739BF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25D23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9.599,73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71E2A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16.585,52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4CA8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172,8</w:t>
            </w:r>
          </w:p>
        </w:tc>
      </w:tr>
    </w:tbl>
    <w:p w14:paraId="130AA587" w14:textId="77777777" w:rsidR="005F2822" w:rsidRDefault="005F2822"/>
    <w:p w14:paraId="354D1422" w14:textId="77777777" w:rsidR="005F2822" w:rsidRDefault="00000000">
      <w:pPr>
        <w:jc w:val="both"/>
      </w:pPr>
      <w:proofErr w:type="spellStart"/>
      <w:r>
        <w:t>Veći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 </w:t>
      </w:r>
      <w:proofErr w:type="spellStart"/>
      <w:r>
        <w:t>su</w:t>
      </w:r>
      <w:proofErr w:type="spellEnd"/>
      <w:r>
        <w:t xml:space="preserve"> 72,8 % u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uključenih</w:t>
      </w:r>
      <w:proofErr w:type="spellEnd"/>
      <w:r>
        <w:t xml:space="preserve"> u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susjednih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(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Preseka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Grad Sveti Ivan Zelina pa je </w:t>
      </w:r>
      <w:proofErr w:type="spellStart"/>
      <w:r>
        <w:t>primljena</w:t>
      </w:r>
      <w:proofErr w:type="spellEnd"/>
      <w:r>
        <w:t xml:space="preserve"> </w:t>
      </w:r>
      <w:proofErr w:type="spellStart"/>
      <w:r>
        <w:t>subvencija</w:t>
      </w:r>
      <w:proofErr w:type="spellEnd"/>
      <w:r>
        <w:t>)</w:t>
      </w:r>
    </w:p>
    <w:p w14:paraId="3985A8B1" w14:textId="77777777" w:rsidR="005F2822" w:rsidRDefault="005F2822"/>
    <w:p w14:paraId="12EE757F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2B9F87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C8805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D49F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FAD8F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4BD17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8C0B1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292E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1223AE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23301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A1C68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CB334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6214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250.256,23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CD4F5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326.367,65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9277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130,4</w:t>
            </w:r>
          </w:p>
        </w:tc>
      </w:tr>
    </w:tbl>
    <w:p w14:paraId="5D74DBB3" w14:textId="77777777" w:rsidR="005F2822" w:rsidRDefault="005F2822"/>
    <w:p w14:paraId="547A72FC" w14:textId="77777777" w:rsidR="005F2822" w:rsidRDefault="00000000">
      <w:pPr>
        <w:jc w:val="both"/>
      </w:pPr>
      <w:proofErr w:type="spellStart"/>
      <w:r>
        <w:t>Povećani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30,4%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vrtić</w:t>
      </w:r>
      <w:proofErr w:type="spellEnd"/>
      <w:r>
        <w:t xml:space="preserve"> s </w:t>
      </w:r>
      <w:proofErr w:type="spellStart"/>
      <w:r>
        <w:t>otvaranjem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nova </w:t>
      </w:r>
      <w:proofErr w:type="spellStart"/>
      <w:r>
        <w:t>objekta</w:t>
      </w:r>
      <w:proofErr w:type="spellEnd"/>
      <w:r>
        <w:t xml:space="preserve"> Luka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Lonjica</w:t>
      </w:r>
      <w:proofErr w:type="spellEnd"/>
    </w:p>
    <w:p w14:paraId="132D35C9" w14:textId="77777777" w:rsidR="005F2822" w:rsidRDefault="005F2822"/>
    <w:p w14:paraId="66FC2E79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7E2FFE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88BAD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CA82D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389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33BA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E067B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687F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4F476B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781AF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E0C34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9BD67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4D52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988.107,92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1AE8F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1.402.630,89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77D31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142,0</w:t>
            </w:r>
          </w:p>
        </w:tc>
      </w:tr>
    </w:tbl>
    <w:p w14:paraId="114FBC77" w14:textId="77777777" w:rsidR="005F2822" w:rsidRDefault="005F2822"/>
    <w:p w14:paraId="7A562CA6" w14:textId="77777777" w:rsidR="005F2822" w:rsidRDefault="00000000">
      <w:pPr>
        <w:jc w:val="both"/>
      </w:pP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Grada </w:t>
      </w:r>
      <w:proofErr w:type="spellStart"/>
      <w:r>
        <w:t>Vrbovca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KU </w:t>
      </w:r>
      <w:proofErr w:type="spellStart"/>
      <w:r>
        <w:t>zaposlenicima</w:t>
      </w:r>
      <w:proofErr w:type="spellEnd"/>
      <w:r>
        <w:t xml:space="preserve"> u </w:t>
      </w:r>
      <w:proofErr w:type="spellStart"/>
      <w:r>
        <w:t>vrtiću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zapošljavnja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nova </w:t>
      </w:r>
      <w:proofErr w:type="spellStart"/>
      <w:r>
        <w:t>objekta</w:t>
      </w:r>
      <w:proofErr w:type="spellEnd"/>
      <w:r>
        <w:t xml:space="preserve"> Luka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Lonjica</w:t>
      </w:r>
      <w:proofErr w:type="spellEnd"/>
      <w:r>
        <w:t>.</w:t>
      </w:r>
    </w:p>
    <w:p w14:paraId="5D4F12F1" w14:textId="77777777" w:rsidR="005F2822" w:rsidRDefault="005F2822"/>
    <w:p w14:paraId="05040727" w14:textId="77777777" w:rsidR="005F2822" w:rsidRDefault="00000000">
      <w:pPr>
        <w:keepNext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422FC0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3055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8CA9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C7609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02CF9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F9B65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3B5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2F1C59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86FF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16C773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4D353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39A7A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1.231.337,29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D01B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1.701.771,74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9A1BB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138,2</w:t>
            </w:r>
          </w:p>
        </w:tc>
      </w:tr>
    </w:tbl>
    <w:p w14:paraId="1422B1AA" w14:textId="77777777" w:rsidR="005F2822" w:rsidRDefault="005F2822"/>
    <w:p w14:paraId="7F5574FE" w14:textId="77777777" w:rsidR="005F2822" w:rsidRDefault="00000000">
      <w:pPr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za 38,2%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(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KU </w:t>
      </w:r>
      <w:proofErr w:type="spellStart"/>
      <w:r>
        <w:t>i</w:t>
      </w:r>
      <w:proofErr w:type="spellEnd"/>
      <w:r>
        <w:t xml:space="preserve"> nova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Luki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Lonjici</w:t>
      </w:r>
      <w:proofErr w:type="spellEnd"/>
      <w:r>
        <w:t xml:space="preserve">)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(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hrane</w:t>
      </w:r>
      <w:proofErr w:type="spellEnd"/>
      <w:r>
        <w:t xml:space="preserve">,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>)</w:t>
      </w:r>
    </w:p>
    <w:p w14:paraId="6FD41A31" w14:textId="77777777" w:rsidR="005F2822" w:rsidRDefault="005F2822"/>
    <w:p w14:paraId="47BEC04F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320036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0727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3148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C875F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28901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57EED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D7A79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57C16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268F9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3B5576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prekovremeni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225F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B25E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21.827,69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F9FF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42.596,31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187B5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195,1</w:t>
            </w:r>
          </w:p>
        </w:tc>
      </w:tr>
    </w:tbl>
    <w:p w14:paraId="5B8184E3" w14:textId="77777777" w:rsidR="005F2822" w:rsidRDefault="005F2822"/>
    <w:p w14:paraId="50020F83" w14:textId="77777777" w:rsidR="005F2822" w:rsidRDefault="00000000">
      <w:pPr>
        <w:jc w:val="both"/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prekovremeni</w:t>
      </w:r>
      <w:proofErr w:type="spellEnd"/>
      <w:r>
        <w:t xml:space="preserve"> rad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nedovoljnog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odgojitelja</w:t>
      </w:r>
      <w:proofErr w:type="spellEnd"/>
      <w:r>
        <w:t xml:space="preserve">, za </w:t>
      </w:r>
      <w:proofErr w:type="spellStart"/>
      <w:r>
        <w:t>pokriče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bolovanju</w:t>
      </w:r>
      <w:proofErr w:type="spellEnd"/>
      <w:r>
        <w:t xml:space="preserve">, </w:t>
      </w:r>
      <w:proofErr w:type="spellStart"/>
      <w:r>
        <w:t>godišnjim</w:t>
      </w:r>
      <w:proofErr w:type="spellEnd"/>
      <w:r>
        <w:t xml:space="preserve"> </w:t>
      </w:r>
      <w:proofErr w:type="spellStart"/>
      <w:r>
        <w:t>odmorima</w:t>
      </w:r>
      <w:proofErr w:type="spellEnd"/>
      <w:r>
        <w:t xml:space="preserve">, </w:t>
      </w:r>
      <w:proofErr w:type="spellStart"/>
      <w:r>
        <w:t>dopustima</w:t>
      </w:r>
      <w:proofErr w:type="spellEnd"/>
      <w:r>
        <w:t xml:space="preserve"> </w:t>
      </w:r>
      <w:proofErr w:type="spellStart"/>
      <w:r>
        <w:t>trudnih</w:t>
      </w:r>
      <w:proofErr w:type="spellEnd"/>
      <w:r>
        <w:t xml:space="preserve"> </w:t>
      </w:r>
      <w:proofErr w:type="spellStart"/>
      <w:r>
        <w:t>radnica</w:t>
      </w:r>
      <w:proofErr w:type="spellEnd"/>
      <w:r>
        <w:t xml:space="preserve">, </w:t>
      </w:r>
      <w:proofErr w:type="spellStart"/>
      <w:r>
        <w:t>rodiljnim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roditeljskim</w:t>
      </w:r>
      <w:proofErr w:type="spellEnd"/>
      <w:r>
        <w:t>.</w:t>
      </w:r>
    </w:p>
    <w:p w14:paraId="35F4448A" w14:textId="77777777" w:rsidR="005F2822" w:rsidRDefault="005F2822"/>
    <w:p w14:paraId="7F05DFB8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6F3E68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9DB0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4B9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D3DB5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7B04B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0F5E8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9E72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7B1A25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3E6C5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13FE0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66019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3B91B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119.781,69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4F3E3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158.360,95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8091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132,2</w:t>
            </w:r>
          </w:p>
        </w:tc>
      </w:tr>
    </w:tbl>
    <w:p w14:paraId="5214DD4F" w14:textId="77777777" w:rsidR="005F2822" w:rsidRDefault="005F2822"/>
    <w:p w14:paraId="672BA6E5" w14:textId="77777777" w:rsidR="005F2822" w:rsidRDefault="00000000">
      <w:pPr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nova </w:t>
      </w:r>
      <w:proofErr w:type="spellStart"/>
      <w:r>
        <w:t>objekta</w:t>
      </w:r>
      <w:proofErr w:type="spellEnd"/>
      <w:r>
        <w:t xml:space="preserve"> u Luki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Lonjici</w:t>
      </w:r>
      <w:proofErr w:type="spellEnd"/>
      <w:r>
        <w:t xml:space="preserve">, pa je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potrošnja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čišćenje</w:t>
      </w:r>
      <w:proofErr w:type="spellEnd"/>
      <w:r>
        <w:t xml:space="preserve">, </w:t>
      </w:r>
      <w:proofErr w:type="spellStart"/>
      <w:r>
        <w:t>namirnica</w:t>
      </w:r>
      <w:proofErr w:type="spellEnd"/>
      <w:r>
        <w:t xml:space="preserve"> za 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obroke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</w:p>
    <w:p w14:paraId="60A575B5" w14:textId="77777777" w:rsidR="005F2822" w:rsidRDefault="005F2822"/>
    <w:p w14:paraId="6921A40C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1087D0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015FC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6D7A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EA94D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7A4C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7F90C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B8EC5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78B2D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A733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5DEC0E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4D6FF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9F0E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1.677,10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E37F5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3.596,41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B9E58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214,4</w:t>
            </w:r>
          </w:p>
        </w:tc>
      </w:tr>
    </w:tbl>
    <w:p w14:paraId="60B0BA6E" w14:textId="77777777" w:rsidR="005F2822" w:rsidRDefault="005F2822"/>
    <w:p w14:paraId="27242037" w14:textId="77777777" w:rsidR="005F2822" w:rsidRDefault="00000000">
      <w:pPr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nova </w:t>
      </w:r>
      <w:proofErr w:type="spellStart"/>
      <w:r>
        <w:t>objekta</w:t>
      </w:r>
      <w:proofErr w:type="spellEnd"/>
      <w:r>
        <w:t xml:space="preserve"> Luka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Lonjica</w:t>
      </w:r>
      <w:proofErr w:type="spellEnd"/>
      <w:r>
        <w:t xml:space="preserve">, pa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otvorenja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male </w:t>
      </w:r>
      <w:proofErr w:type="spellStart"/>
      <w:r>
        <w:t>zakuske</w:t>
      </w:r>
      <w:proofErr w:type="spellEnd"/>
      <w:r>
        <w:t xml:space="preserve"> za </w:t>
      </w:r>
      <w:proofErr w:type="spellStart"/>
      <w:r>
        <w:t>uzvanike</w:t>
      </w:r>
      <w:proofErr w:type="spellEnd"/>
      <w:r>
        <w:t>.</w:t>
      </w:r>
    </w:p>
    <w:p w14:paraId="43E8D538" w14:textId="77777777" w:rsidR="005F2822" w:rsidRDefault="005F2822"/>
    <w:p w14:paraId="166B432D" w14:textId="77777777" w:rsidR="005F2822" w:rsidRDefault="00000000">
      <w:pPr>
        <w:keepNext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471742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22C1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AF4D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ABAA5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0E1CF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38E6E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7F2C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155B17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CD987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31686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FE013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E55E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16.626,59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03478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43.812,36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2BC1F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263,5</w:t>
            </w:r>
          </w:p>
        </w:tc>
      </w:tr>
    </w:tbl>
    <w:p w14:paraId="4BB8CECD" w14:textId="77777777" w:rsidR="005F2822" w:rsidRDefault="005F2822"/>
    <w:p w14:paraId="4288D9F7" w14:textId="77777777" w:rsidR="005F2822" w:rsidRPr="00DC7436" w:rsidRDefault="00000000">
      <w:pPr>
        <w:jc w:val="both"/>
        <w:rPr>
          <w:lang w:val="pl-PL"/>
        </w:rPr>
      </w:pPr>
      <w:r w:rsidRPr="00DC7436">
        <w:rPr>
          <w:lang w:val="pl-PL"/>
        </w:rPr>
        <w:t>Na višak prihoda poslovanja utjecala je povećana kontrola naplate potraživanja od roditelja za boravak djece u vrtiću.</w:t>
      </w:r>
    </w:p>
    <w:p w14:paraId="2FBE91B6" w14:textId="77777777" w:rsidR="005F2822" w:rsidRPr="00DC7436" w:rsidRDefault="005F2822">
      <w:pPr>
        <w:rPr>
          <w:lang w:val="pl-PL"/>
        </w:rPr>
      </w:pPr>
    </w:p>
    <w:p w14:paraId="17593231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67D440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1EE8D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87D5B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5BA2A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8BA74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8F252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DAC5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1276AC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49C2B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75830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FFDD6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84B4E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6.343,75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58C78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51.853,53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2D65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817,4</w:t>
            </w:r>
          </w:p>
        </w:tc>
      </w:tr>
    </w:tbl>
    <w:p w14:paraId="291C3725" w14:textId="77777777" w:rsidR="005F2822" w:rsidRDefault="005F2822"/>
    <w:p w14:paraId="573603F1" w14:textId="77777777" w:rsidR="005F2822" w:rsidRPr="00DC7436" w:rsidRDefault="00000000">
      <w:pPr>
        <w:jc w:val="both"/>
        <w:rPr>
          <w:lang w:val="pl-PL"/>
        </w:rPr>
      </w:pPr>
      <w:r>
        <w:t xml:space="preserve">Na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utjecalo</w:t>
      </w:r>
      <w:proofErr w:type="spellEnd"/>
      <w:r>
        <w:t xml:space="preserve"> je to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trebali</w:t>
      </w:r>
      <w:proofErr w:type="spellEnd"/>
      <w:r>
        <w:t xml:space="preserve"> </w:t>
      </w:r>
      <w:proofErr w:type="spellStart"/>
      <w:r>
        <w:t>nabaviti</w:t>
      </w:r>
      <w:proofErr w:type="spellEnd"/>
      <w:r>
        <w:t xml:space="preserve"> </w:t>
      </w:r>
      <w:proofErr w:type="spellStart"/>
      <w:r>
        <w:t>dodatu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proširenje</w:t>
      </w:r>
      <w:proofErr w:type="spellEnd"/>
      <w:r>
        <w:t xml:space="preserve"> </w:t>
      </w:r>
      <w:proofErr w:type="spellStart"/>
      <w:r>
        <w:t>kuhinje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većim</w:t>
      </w:r>
      <w:proofErr w:type="spellEnd"/>
      <w:r>
        <w:t xml:space="preserve"> </w:t>
      </w:r>
      <w:proofErr w:type="spellStart"/>
      <w:r>
        <w:t>kapacitetom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. </w:t>
      </w:r>
      <w:r w:rsidRPr="00DC7436">
        <w:rPr>
          <w:lang w:val="pl-PL"/>
        </w:rPr>
        <w:t>Također i nabava novog vozila za potrebe dostave jer se objekti nalaze na različitim lokacijama.</w:t>
      </w:r>
    </w:p>
    <w:p w14:paraId="59995EAC" w14:textId="77777777" w:rsidR="005F2822" w:rsidRPr="00DC7436" w:rsidRDefault="005F2822">
      <w:pPr>
        <w:rPr>
          <w:lang w:val="pl-PL"/>
        </w:rPr>
      </w:pPr>
    </w:p>
    <w:p w14:paraId="46E6B8F7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7DA16B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7CDEB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5C98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4CCB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9187D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31A6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2841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3BA7F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C05C5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B52A25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2BC8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0B959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6.343,75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3CB6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23.049,87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AF345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363,3</w:t>
            </w:r>
          </w:p>
        </w:tc>
      </w:tr>
    </w:tbl>
    <w:p w14:paraId="6E3CA12E" w14:textId="77777777" w:rsidR="005F2822" w:rsidRDefault="005F2822"/>
    <w:p w14:paraId="063B453B" w14:textId="77777777" w:rsidR="005F2822" w:rsidRPr="00DC7436" w:rsidRDefault="00000000">
      <w:pPr>
        <w:jc w:val="both"/>
        <w:rPr>
          <w:lang w:val="pl-PL"/>
        </w:rPr>
      </w:pPr>
      <w:r w:rsidRPr="00DC7436">
        <w:rPr>
          <w:lang w:val="pl-PL"/>
        </w:rPr>
        <w:t>Nabavljena je nova oprema za povećanje kapaciteta kuhinje, zbog otvaranja novih objekata i povećanja broja potrebnih obroka.</w:t>
      </w:r>
    </w:p>
    <w:p w14:paraId="6D8FCC31" w14:textId="77777777" w:rsidR="005F2822" w:rsidRPr="00DC7436" w:rsidRDefault="005F2822">
      <w:pPr>
        <w:rPr>
          <w:lang w:val="pl-PL"/>
        </w:rPr>
      </w:pPr>
    </w:p>
    <w:p w14:paraId="68AE848B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523A68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6278B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9AD1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EC7F3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A3E1D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9D1A8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68E1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711585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EF344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86DBB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Prijevozna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52CC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C44B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60BF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28.803,66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8D4D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6ECA46" w14:textId="77777777" w:rsidR="005F2822" w:rsidRDefault="005F2822"/>
    <w:p w14:paraId="36B41919" w14:textId="77777777" w:rsidR="005F2822" w:rsidRDefault="00000000">
      <w:pPr>
        <w:jc w:val="both"/>
      </w:pPr>
      <w:proofErr w:type="spellStart"/>
      <w:r>
        <w:t>Nabavljeno</w:t>
      </w:r>
      <w:proofErr w:type="spellEnd"/>
      <w:r>
        <w:t xml:space="preserve"> novo </w:t>
      </w:r>
      <w:proofErr w:type="spellStart"/>
      <w:r>
        <w:t>dostavno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naš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s </w:t>
      </w:r>
      <w:proofErr w:type="spellStart"/>
      <w:r>
        <w:t>otvorenjem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6 </w:t>
      </w:r>
      <w:proofErr w:type="spellStart"/>
      <w:r>
        <w:t>lokacija</w:t>
      </w:r>
      <w:proofErr w:type="spellEnd"/>
      <w:r>
        <w:t>.</w:t>
      </w:r>
    </w:p>
    <w:p w14:paraId="232C3140" w14:textId="77777777" w:rsidR="005F2822" w:rsidRDefault="005F2822"/>
    <w:p w14:paraId="13C8DDBE" w14:textId="77777777" w:rsidR="005F2822" w:rsidRDefault="00000000">
      <w:pPr>
        <w:keepNext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6CAACC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8E51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F6EE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A090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FBF95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D6D0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2AE5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1D97C9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BD6FB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086CC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1CE1C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52C7F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21.608,13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6B13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51.853,53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776E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240,0</w:t>
            </w:r>
          </w:p>
        </w:tc>
      </w:tr>
    </w:tbl>
    <w:p w14:paraId="6DF8DBAC" w14:textId="77777777" w:rsidR="005F2822" w:rsidRDefault="005F2822"/>
    <w:p w14:paraId="4DBBC923" w14:textId="77777777" w:rsidR="005F2822" w:rsidRDefault="00000000">
      <w:pPr>
        <w:jc w:val="both"/>
      </w:pPr>
      <w:r>
        <w:t xml:space="preserve">Na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 </w:t>
      </w:r>
      <w:proofErr w:type="spellStart"/>
      <w:r>
        <w:t>utjecali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financirani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pa </w:t>
      </w:r>
      <w:proofErr w:type="spellStart"/>
      <w:r>
        <w:t>će</w:t>
      </w:r>
      <w:proofErr w:type="spellEnd"/>
      <w:r>
        <w:t xml:space="preserve"> se za taj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koncem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korekcija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>.</w:t>
      </w:r>
    </w:p>
    <w:p w14:paraId="49128E54" w14:textId="77777777" w:rsidR="005F2822" w:rsidRDefault="005F2822"/>
    <w:p w14:paraId="3E5F85BF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75DD93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34A1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3CC0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1278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7C03A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2266C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84B5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0BE35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86FCD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A0194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UKUPNI PRIHODI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974F7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5D2D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1.247.963,88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E169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1.745.584,10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C20F6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20638DE4" w14:textId="77777777" w:rsidR="005F2822" w:rsidRDefault="005F2822"/>
    <w:p w14:paraId="0B955626" w14:textId="77777777" w:rsidR="005F2822" w:rsidRDefault="00000000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primanja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nenadležnih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vrtiću</w:t>
      </w:r>
      <w:proofErr w:type="spellEnd"/>
      <w:r>
        <w:t>.</w:t>
      </w:r>
    </w:p>
    <w:p w14:paraId="09D22A87" w14:textId="77777777" w:rsidR="005F2822" w:rsidRDefault="005F2822"/>
    <w:p w14:paraId="215DFBED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50D948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9CF5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6802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14E1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5BFF7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FC6E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F2F2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56E01E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5972F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03DBA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UKUPNI RASHODI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E227E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768D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1.252.945,42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F0086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1.753.625,27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138A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140,0</w:t>
            </w:r>
          </w:p>
        </w:tc>
      </w:tr>
    </w:tbl>
    <w:p w14:paraId="2BE9697D" w14:textId="77777777" w:rsidR="005F2822" w:rsidRDefault="005F2822"/>
    <w:p w14:paraId="2CBA5CA8" w14:textId="77777777" w:rsidR="005F2822" w:rsidRDefault="00000000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KU,  </w:t>
      </w:r>
      <w:proofErr w:type="spellStart"/>
      <w:r>
        <w:t>proširenja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nova </w:t>
      </w:r>
      <w:proofErr w:type="spellStart"/>
      <w:r>
        <w:t>objekta</w:t>
      </w:r>
      <w:proofErr w:type="spellEnd"/>
      <w:r>
        <w:t xml:space="preserve">,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>.</w:t>
      </w:r>
    </w:p>
    <w:p w14:paraId="1CCA8DB0" w14:textId="77777777" w:rsidR="005F2822" w:rsidRDefault="005F2822"/>
    <w:p w14:paraId="08BC5CD8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39D6DD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B6199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ED81C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3DB31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3DEB9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60F6F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48FC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9A26A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51557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4E512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F2D87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913E5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4.981,54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DD10A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8.041,17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A4F8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161,4</w:t>
            </w:r>
          </w:p>
        </w:tc>
      </w:tr>
    </w:tbl>
    <w:p w14:paraId="222BF6C0" w14:textId="77777777" w:rsidR="005F2822" w:rsidRDefault="005F2822"/>
    <w:p w14:paraId="07CC8296" w14:textId="77777777" w:rsidR="005F2822" w:rsidRDefault="00000000">
      <w:pPr>
        <w:jc w:val="both"/>
      </w:pPr>
      <w:r>
        <w:t xml:space="preserve">Do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poslaovanja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za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inflacije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proširenja</w:t>
      </w:r>
      <w:proofErr w:type="spellEnd"/>
      <w:r>
        <w:t xml:space="preserve">,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objekate</w:t>
      </w:r>
      <w:proofErr w:type="spellEnd"/>
      <w:r>
        <w:t>.</w:t>
      </w:r>
    </w:p>
    <w:p w14:paraId="087DA834" w14:textId="77777777" w:rsidR="005F2822" w:rsidRDefault="005F2822"/>
    <w:p w14:paraId="7813C0F6" w14:textId="77777777" w:rsidR="005F2822" w:rsidRDefault="00000000">
      <w:pPr>
        <w:keepNext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4E26C7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FA79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93082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6EC0D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0E1F1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C6F80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F8009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1A93F8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85A51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119536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C0DEE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9EA4B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1.247.963,88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A7E34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1.745.584,10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34A2F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4AE33AB4" w14:textId="77777777" w:rsidR="005F2822" w:rsidRDefault="005F2822"/>
    <w:p w14:paraId="3FD17FC8" w14:textId="77777777" w:rsidR="005F2822" w:rsidRDefault="00000000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povećanih</w:t>
      </w:r>
      <w:proofErr w:type="spellEnd"/>
      <w:r>
        <w:t xml:space="preserve"> </w:t>
      </w:r>
      <w:proofErr w:type="spellStart"/>
      <w:r>
        <w:t>primanja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nenadležnih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a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uglavnom</w:t>
      </w:r>
      <w:proofErr w:type="spellEnd"/>
      <w:r>
        <w:t xml:space="preserve"> </w:t>
      </w:r>
      <w:proofErr w:type="spellStart"/>
      <w:r>
        <w:t>namjenje</w:t>
      </w:r>
      <w:proofErr w:type="spellEnd"/>
      <w:r>
        <w:t xml:space="preserve"> za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proširenja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Luka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Lonjica</w:t>
      </w:r>
      <w:proofErr w:type="spellEnd"/>
    </w:p>
    <w:p w14:paraId="2BB10500" w14:textId="77777777" w:rsidR="005F2822" w:rsidRDefault="005F2822"/>
    <w:p w14:paraId="78AC87F1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6980A7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AEDE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BB05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8230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2C994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4E49E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E818F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0543F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DBF07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F8BFBE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A24FE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8BEB3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1.252.945,42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1052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1.753.625,27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AC413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140,0</w:t>
            </w:r>
          </w:p>
        </w:tc>
      </w:tr>
    </w:tbl>
    <w:p w14:paraId="0F3BAB58" w14:textId="77777777" w:rsidR="005F2822" w:rsidRDefault="005F2822"/>
    <w:p w14:paraId="3148EC02" w14:textId="77777777" w:rsidR="005F2822" w:rsidRDefault="00000000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proširenja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,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KU, </w:t>
      </w:r>
      <w:proofErr w:type="spellStart"/>
      <w:r>
        <w:t>te</w:t>
      </w:r>
      <w:proofErr w:type="spellEnd"/>
      <w:r>
        <w:t xml:space="preserve"> 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djelatnosti.Velik</w:t>
      </w:r>
      <w:proofErr w:type="spellEnd"/>
      <w:r>
        <w:t xml:space="preserve"> </w:t>
      </w:r>
      <w:proofErr w:type="spellStart"/>
      <w:r>
        <w:t>utjeca</w:t>
      </w:r>
      <w:proofErr w:type="spellEnd"/>
      <w:r>
        <w:t xml:space="preserve"> </w:t>
      </w:r>
      <w:proofErr w:type="spellStart"/>
      <w:r>
        <w:t>imala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inflacija</w:t>
      </w:r>
      <w:proofErr w:type="spellEnd"/>
      <w:r>
        <w:t>.</w:t>
      </w:r>
    </w:p>
    <w:p w14:paraId="43D46258" w14:textId="77777777" w:rsidR="005F2822" w:rsidRDefault="005F2822"/>
    <w:p w14:paraId="1EA2CCC4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589869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6272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93E9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A23AF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41A56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A62C8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E0C9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7C6D05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12ED8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F26BB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C5622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708A9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50.574,35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07588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51.854,75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CF7E4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102,5</w:t>
            </w:r>
          </w:p>
        </w:tc>
      </w:tr>
    </w:tbl>
    <w:p w14:paraId="63A335DD" w14:textId="77777777" w:rsidR="005F2822" w:rsidRDefault="005F2822"/>
    <w:p w14:paraId="05381E35" w14:textId="77777777" w:rsidR="005F2822" w:rsidRDefault="00000000">
      <w:pPr>
        <w:jc w:val="both"/>
      </w:pP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ostavaren</w:t>
      </w:r>
      <w:proofErr w:type="spellEnd"/>
      <w:r>
        <w:t xml:space="preserve"> </w:t>
      </w:r>
      <w:proofErr w:type="spellStart"/>
      <w:r>
        <w:t>prijenosom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2024.nakon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ga </w:t>
      </w:r>
      <w:proofErr w:type="spellStart"/>
      <w:r>
        <w:t>umanjili</w:t>
      </w:r>
      <w:proofErr w:type="spellEnd"/>
      <w:r>
        <w:t xml:space="preserve"> za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45DB0956" w14:textId="77777777" w:rsidR="005F2822" w:rsidRDefault="005F2822"/>
    <w:p w14:paraId="16F276D8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10CA52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9A9CC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AB76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8D3F0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14070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CCD7D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BD07D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305997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3B89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E7C1F5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novčanih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68A6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EF021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26.115,43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1D81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034E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9573B58" w14:textId="77777777" w:rsidR="005F2822" w:rsidRDefault="005F2822"/>
    <w:p w14:paraId="6EE41A99" w14:textId="77777777" w:rsidR="005F2822" w:rsidRDefault="00000000">
      <w:pPr>
        <w:jc w:val="both"/>
      </w:pPr>
      <w:proofErr w:type="spellStart"/>
      <w:r>
        <w:t>Novčana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nuli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 1. </w:t>
      </w:r>
      <w:proofErr w:type="spellStart"/>
      <w:r>
        <w:t>rujnom</w:t>
      </w:r>
      <w:proofErr w:type="spellEnd"/>
      <w:r>
        <w:t xml:space="preserve"> 2025. </w:t>
      </w:r>
      <w:proofErr w:type="spellStart"/>
      <w:r>
        <w:t>ušli</w:t>
      </w:r>
      <w:proofErr w:type="spellEnd"/>
      <w:r>
        <w:t xml:space="preserve"> u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riznicu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 xml:space="preserve"> Grada </w:t>
      </w:r>
      <w:proofErr w:type="spellStart"/>
      <w:r>
        <w:t>Vrbovca</w:t>
      </w:r>
      <w:proofErr w:type="spellEnd"/>
      <w:r>
        <w:t>.</w:t>
      </w:r>
    </w:p>
    <w:p w14:paraId="62910A2F" w14:textId="77777777" w:rsidR="005F2822" w:rsidRDefault="005F2822"/>
    <w:p w14:paraId="53A6F0D7" w14:textId="77777777" w:rsidR="005F2822" w:rsidRDefault="00000000">
      <w:pPr>
        <w:keepNext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775197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1BCBA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411D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3221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725BC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3F842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585E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56CCDE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B1C69" w14:textId="77777777" w:rsidR="005F2822" w:rsidRDefault="005F2822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F3200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4FF92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F457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67,00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5B762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027DC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5DA5470C" w14:textId="77777777" w:rsidR="005F2822" w:rsidRDefault="005F2822"/>
    <w:p w14:paraId="262D2072" w14:textId="77777777" w:rsidR="005F2822" w:rsidRDefault="00000000">
      <w:pPr>
        <w:jc w:val="both"/>
      </w:pPr>
      <w:proofErr w:type="spellStart"/>
      <w:r>
        <w:t>Broj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je </w:t>
      </w:r>
      <w:proofErr w:type="spellStart"/>
      <w:r>
        <w:t>povećan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, a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nova </w:t>
      </w:r>
      <w:proofErr w:type="spellStart"/>
      <w:r>
        <w:t>zapošljavanja</w:t>
      </w:r>
      <w:proofErr w:type="spellEnd"/>
      <w:r>
        <w:t>.</w:t>
      </w:r>
    </w:p>
    <w:p w14:paraId="3FAD009B" w14:textId="77777777" w:rsidR="005F2822" w:rsidRDefault="005F2822"/>
    <w:p w14:paraId="66D07F04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1F810D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4C719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1186C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14BB6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973AB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B334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7DCC8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258EC0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EB9ED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B00373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ABB9B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55728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6.198,33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37FAD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13.511,52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003F4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218,0</w:t>
            </w:r>
          </w:p>
        </w:tc>
      </w:tr>
    </w:tbl>
    <w:p w14:paraId="0E1E9A13" w14:textId="77777777" w:rsidR="005F2822" w:rsidRDefault="005F2822"/>
    <w:p w14:paraId="65AACDCF" w14:textId="77777777" w:rsidR="005F2822" w:rsidRDefault="00000000">
      <w:pPr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koji </w:t>
      </w:r>
      <w:proofErr w:type="spellStart"/>
      <w:r>
        <w:t>nam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nadležan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s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produčja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vrtiću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>.</w:t>
      </w:r>
    </w:p>
    <w:p w14:paraId="444499C6" w14:textId="77777777" w:rsidR="005F2822" w:rsidRDefault="005F2822"/>
    <w:p w14:paraId="4A2A02BC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1F12F41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0B42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340B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D3697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2A414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50528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4611E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776328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5ED49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7E181" w14:textId="77777777" w:rsidR="005F2822" w:rsidRDefault="00000000">
            <w:pPr>
              <w:keepNext/>
              <w:keepLines/>
            </w:pPr>
            <w:proofErr w:type="spellStart"/>
            <w:r>
              <w:rPr>
                <w:sz w:val="18"/>
              </w:rPr>
              <w:t>Sufinanciranje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cijene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participacije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7BAA8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474F0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148.096,23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B7D1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324.142,65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A8E11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218,9</w:t>
            </w:r>
          </w:p>
        </w:tc>
      </w:tr>
    </w:tbl>
    <w:p w14:paraId="13A8BBAA" w14:textId="77777777" w:rsidR="005F2822" w:rsidRDefault="005F2822"/>
    <w:p w14:paraId="0E40A12C" w14:textId="77777777" w:rsidR="005F2822" w:rsidRDefault="00000000">
      <w:pPr>
        <w:jc w:val="both"/>
      </w:pPr>
      <w:r>
        <w:t xml:space="preserve">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vrtiću</w:t>
      </w:r>
      <w:proofErr w:type="spellEnd"/>
      <w:r>
        <w:t xml:space="preserve"> s </w:t>
      </w:r>
      <w:proofErr w:type="spellStart"/>
      <w:r>
        <w:t>otvaranjem</w:t>
      </w:r>
      <w:proofErr w:type="spellEnd"/>
      <w:r>
        <w:t xml:space="preserve"> nova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u Luki </w:t>
      </w:r>
      <w:proofErr w:type="spellStart"/>
      <w:r>
        <w:t>i</w:t>
      </w:r>
      <w:proofErr w:type="spellEnd"/>
      <w:r>
        <w:t xml:space="preserve"> </w:t>
      </w:r>
      <w:proofErr w:type="spellStart"/>
      <w:r>
        <w:t>Lonjici</w:t>
      </w:r>
      <w:proofErr w:type="spellEnd"/>
      <w:r>
        <w:t xml:space="preserve">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naplata</w:t>
      </w:r>
      <w:proofErr w:type="spellEnd"/>
      <w:r>
        <w:t>.</w:t>
      </w:r>
    </w:p>
    <w:p w14:paraId="4768B1E6" w14:textId="77777777" w:rsidR="005F2822" w:rsidRDefault="005F2822"/>
    <w:p w14:paraId="51D03430" w14:textId="77777777" w:rsidR="005F2822" w:rsidRDefault="00000000">
      <w:pPr>
        <w:keepNext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2822" w14:paraId="1A0C6D6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1EDB9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558E4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1AAFC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974E3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243E8" w14:textId="77777777" w:rsidR="005F2822" w:rsidRPr="00DC7436" w:rsidRDefault="00000000">
            <w:pPr>
              <w:keepNext/>
              <w:keepLines/>
              <w:jc w:val="center"/>
              <w:rPr>
                <w:lang w:val="pl-PL"/>
              </w:rPr>
            </w:pPr>
            <w:r w:rsidRPr="00DC7436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E1AEC" w14:textId="77777777" w:rsidR="005F2822" w:rsidRDefault="00000000">
            <w:pPr>
              <w:keepNext/>
              <w:keepLines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5F2822" w14:paraId="1B204D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64219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BA2EA" w14:textId="77777777" w:rsidR="005F2822" w:rsidRPr="00DC7436" w:rsidRDefault="00000000">
            <w:pPr>
              <w:keepNext/>
              <w:keepLines/>
              <w:rPr>
                <w:lang w:val="pl-PL"/>
              </w:rPr>
            </w:pPr>
            <w:r w:rsidRPr="00DC7436">
              <w:rPr>
                <w:sz w:val="18"/>
                <w:lang w:val="pl-PL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D35CA" w14:textId="77777777" w:rsidR="005F2822" w:rsidRDefault="00000000">
            <w:pPr>
              <w:keepNext/>
              <w:keepLines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50907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4.840,96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0F11A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9.225,10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3DAE5" w14:textId="77777777" w:rsidR="005F2822" w:rsidRDefault="00000000">
            <w:pPr>
              <w:keepNext/>
              <w:keepLines/>
              <w:jc w:val="right"/>
            </w:pPr>
            <w:r>
              <w:rPr>
                <w:sz w:val="18"/>
              </w:rPr>
              <w:t>190,6</w:t>
            </w:r>
          </w:p>
        </w:tc>
      </w:tr>
    </w:tbl>
    <w:p w14:paraId="27B1D60F" w14:textId="77777777" w:rsidR="005F2822" w:rsidRDefault="005F2822"/>
    <w:p w14:paraId="076CFA34" w14:textId="77777777" w:rsidR="005F2822" w:rsidRDefault="00000000">
      <w:pPr>
        <w:jc w:val="both"/>
      </w:pPr>
      <w:r>
        <w:t xml:space="preserve">Otvaranjem </w:t>
      </w:r>
      <w:proofErr w:type="spellStart"/>
      <w:r>
        <w:t>dvaju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zaposlili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obavljali</w:t>
      </w:r>
      <w:proofErr w:type="spellEnd"/>
      <w:r>
        <w:t xml:space="preserve"> </w:t>
      </w:r>
      <w:proofErr w:type="spellStart"/>
      <w:r>
        <w:t>sistematske</w:t>
      </w:r>
      <w:proofErr w:type="spellEnd"/>
      <w:r>
        <w:t xml:space="preserve">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KU,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sanitarne</w:t>
      </w:r>
      <w:proofErr w:type="spellEnd"/>
      <w:r>
        <w:t xml:space="preserve">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rada s </w:t>
      </w:r>
      <w:proofErr w:type="spellStart"/>
      <w:r>
        <w:t>djecom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hranom</w:t>
      </w:r>
      <w:proofErr w:type="spellEnd"/>
      <w:r>
        <w:t>.</w:t>
      </w:r>
    </w:p>
    <w:p w14:paraId="30B52D39" w14:textId="77777777" w:rsidR="005F2822" w:rsidRDefault="005F2822"/>
    <w:sectPr w:rsidR="005F2822">
      <w:pgSz w:w="11906" w:h="16838"/>
      <w:pgMar w:top="1417" w:right="1417" w:bottom="1417" w:left="141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822"/>
    <w:rsid w:val="00084734"/>
    <w:rsid w:val="005F2822"/>
    <w:rsid w:val="00DC7436"/>
    <w:rsid w:val="4E6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3D03"/>
  <w15:docId w15:val="{200895D6-9DA6-4172-9CF4-D5FFD98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Marko Kelečić</cp:lastModifiedBy>
  <cp:revision>2</cp:revision>
  <dcterms:created xsi:type="dcterms:W3CDTF">2025-10-10T07:31:00Z</dcterms:created>
  <dcterms:modified xsi:type="dcterms:W3CDTF">2025-10-16T12:36:00Z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DD70C55EAAB84DD48A72E1D35C932098_12</vt:lpwstr>
  </property>
</Properties>
</file>